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7EBE23" w14:textId="29E411C5" w:rsidR="00487498" w:rsidRPr="00487498" w:rsidRDefault="00487498" w:rsidP="00487498">
      <w:pPr>
        <w:spacing w:afterLines="100" w:after="381"/>
        <w:jc w:val="left"/>
        <w:rPr>
          <w:rFonts w:cs="Times New Roman"/>
          <w:b/>
          <w:bCs/>
          <w:i/>
          <w:iCs/>
          <w:szCs w:val="28"/>
        </w:rPr>
      </w:pPr>
      <w:r w:rsidRPr="001A6609">
        <w:rPr>
          <w:rFonts w:cs="Times New Roman"/>
          <w:b/>
          <w:bCs/>
          <w:i/>
          <w:iCs/>
          <w:szCs w:val="28"/>
        </w:rPr>
        <w:t>Supplementary Materials for</w:t>
      </w:r>
    </w:p>
    <w:p w14:paraId="1718C0C3" w14:textId="4E363AE8" w:rsidR="00487498" w:rsidRPr="00897699" w:rsidRDefault="00487498" w:rsidP="00487498">
      <w:pPr>
        <w:pStyle w:val="MStitle"/>
      </w:pPr>
      <w:r w:rsidRPr="00897699">
        <w:t>Comprehensive evaluation of typical planetary boundary layer (PBL) parameterization schemes in China. Part Ⅱ: Influence of uncertaint</w:t>
      </w:r>
      <w:r>
        <w:rPr>
          <w:rFonts w:hint="eastAsia"/>
          <w:lang w:eastAsia="zh-CN"/>
        </w:rPr>
        <w:t>y</w:t>
      </w:r>
      <w:r w:rsidRPr="00897699">
        <w:t xml:space="preserve"> factors </w:t>
      </w:r>
    </w:p>
    <w:p w14:paraId="2BA7C57E" w14:textId="77777777" w:rsidR="00487498" w:rsidRPr="00350A5E" w:rsidRDefault="00487498" w:rsidP="00487498">
      <w:pPr>
        <w:spacing w:afterLines="100" w:after="381"/>
        <w:rPr>
          <w:b/>
          <w:bCs/>
          <w:color w:val="000000" w:themeColor="text1"/>
          <w:sz w:val="21"/>
          <w:szCs w:val="21"/>
        </w:rPr>
      </w:pPr>
      <w:bookmarkStart w:id="0" w:name="_Hlk127782369"/>
      <w:proofErr w:type="spellStart"/>
      <w:r w:rsidRPr="00350A5E">
        <w:rPr>
          <w:color w:val="000000" w:themeColor="text1"/>
          <w:sz w:val="21"/>
          <w:szCs w:val="21"/>
        </w:rPr>
        <w:t>Wenxing</w:t>
      </w:r>
      <w:proofErr w:type="spellEnd"/>
      <w:r w:rsidRPr="00350A5E">
        <w:rPr>
          <w:color w:val="000000" w:themeColor="text1"/>
          <w:sz w:val="21"/>
          <w:szCs w:val="21"/>
        </w:rPr>
        <w:t xml:space="preserve"> Jia</w:t>
      </w:r>
      <w:r w:rsidRPr="00350A5E">
        <w:rPr>
          <w:color w:val="000000" w:themeColor="text1"/>
          <w:sz w:val="21"/>
          <w:szCs w:val="21"/>
          <w:vertAlign w:val="superscript"/>
        </w:rPr>
        <w:t>1</w:t>
      </w:r>
      <w:r w:rsidRPr="00350A5E">
        <w:rPr>
          <w:color w:val="000000" w:themeColor="text1"/>
          <w:sz w:val="21"/>
          <w:szCs w:val="21"/>
        </w:rPr>
        <w:t xml:space="preserve">, </w:t>
      </w:r>
      <w:proofErr w:type="spellStart"/>
      <w:r w:rsidRPr="00350A5E">
        <w:rPr>
          <w:color w:val="000000" w:themeColor="text1"/>
          <w:sz w:val="21"/>
          <w:szCs w:val="21"/>
        </w:rPr>
        <w:t>Xiaoye</w:t>
      </w:r>
      <w:proofErr w:type="spellEnd"/>
      <w:r w:rsidRPr="00350A5E">
        <w:rPr>
          <w:color w:val="000000" w:themeColor="text1"/>
          <w:sz w:val="21"/>
          <w:szCs w:val="21"/>
        </w:rPr>
        <w:t xml:space="preserve"> Zhang</w:t>
      </w:r>
      <w:r w:rsidRPr="00350A5E">
        <w:rPr>
          <w:color w:val="000000" w:themeColor="text1"/>
          <w:sz w:val="21"/>
          <w:szCs w:val="21"/>
          <w:vertAlign w:val="superscript"/>
        </w:rPr>
        <w:t>1,2*</w:t>
      </w:r>
      <w:r w:rsidRPr="00350A5E">
        <w:rPr>
          <w:rFonts w:hint="eastAsia"/>
          <w:color w:val="000000" w:themeColor="text1"/>
          <w:sz w:val="21"/>
          <w:szCs w:val="21"/>
        </w:rPr>
        <w:t>,</w:t>
      </w:r>
      <w:r w:rsidRPr="00350A5E">
        <w:rPr>
          <w:color w:val="000000" w:themeColor="text1"/>
          <w:sz w:val="21"/>
          <w:szCs w:val="21"/>
        </w:rPr>
        <w:t xml:space="preserve"> Hong Wang</w:t>
      </w:r>
      <w:r w:rsidRPr="00350A5E">
        <w:rPr>
          <w:color w:val="000000" w:themeColor="text1"/>
          <w:sz w:val="21"/>
          <w:szCs w:val="21"/>
          <w:vertAlign w:val="superscript"/>
        </w:rPr>
        <w:t>1</w:t>
      </w:r>
      <w:r w:rsidRPr="00350A5E">
        <w:rPr>
          <w:color w:val="000000" w:themeColor="text1"/>
          <w:sz w:val="21"/>
          <w:szCs w:val="21"/>
        </w:rPr>
        <w:t xml:space="preserve">, </w:t>
      </w:r>
      <w:proofErr w:type="spellStart"/>
      <w:r w:rsidRPr="00350A5E">
        <w:rPr>
          <w:color w:val="000000" w:themeColor="text1"/>
          <w:sz w:val="21"/>
          <w:szCs w:val="21"/>
        </w:rPr>
        <w:t>Yaqiang</w:t>
      </w:r>
      <w:proofErr w:type="spellEnd"/>
      <w:r w:rsidRPr="00350A5E">
        <w:rPr>
          <w:color w:val="000000" w:themeColor="text1"/>
          <w:sz w:val="21"/>
          <w:szCs w:val="21"/>
        </w:rPr>
        <w:t xml:space="preserve"> Wang</w:t>
      </w:r>
      <w:r w:rsidRPr="00350A5E">
        <w:rPr>
          <w:color w:val="000000" w:themeColor="text1"/>
          <w:sz w:val="21"/>
          <w:szCs w:val="21"/>
          <w:vertAlign w:val="superscript"/>
        </w:rPr>
        <w:t>1</w:t>
      </w:r>
      <w:r w:rsidRPr="00350A5E">
        <w:rPr>
          <w:color w:val="000000" w:themeColor="text1"/>
          <w:sz w:val="21"/>
          <w:szCs w:val="21"/>
        </w:rPr>
        <w:t xml:space="preserve">, </w:t>
      </w:r>
      <w:proofErr w:type="spellStart"/>
      <w:r w:rsidRPr="00350A5E">
        <w:rPr>
          <w:color w:val="000000" w:themeColor="text1"/>
          <w:sz w:val="21"/>
          <w:szCs w:val="21"/>
        </w:rPr>
        <w:t>Deying</w:t>
      </w:r>
      <w:proofErr w:type="spellEnd"/>
      <w:r w:rsidRPr="00350A5E">
        <w:rPr>
          <w:color w:val="000000" w:themeColor="text1"/>
          <w:sz w:val="21"/>
          <w:szCs w:val="21"/>
        </w:rPr>
        <w:t xml:space="preserve"> Wang</w:t>
      </w:r>
      <w:r w:rsidRPr="00350A5E">
        <w:rPr>
          <w:color w:val="000000" w:themeColor="text1"/>
          <w:sz w:val="21"/>
          <w:szCs w:val="21"/>
          <w:vertAlign w:val="superscript"/>
        </w:rPr>
        <w:t>1</w:t>
      </w:r>
      <w:r>
        <w:rPr>
          <w:color w:val="000000" w:themeColor="text1"/>
          <w:sz w:val="21"/>
          <w:szCs w:val="21"/>
        </w:rPr>
        <w:t xml:space="preserve">, </w:t>
      </w:r>
      <w:proofErr w:type="spellStart"/>
      <w:r w:rsidRPr="00350A5E">
        <w:rPr>
          <w:color w:val="000000" w:themeColor="text1"/>
          <w:sz w:val="21"/>
          <w:szCs w:val="21"/>
        </w:rPr>
        <w:t>Junting</w:t>
      </w:r>
      <w:proofErr w:type="spellEnd"/>
      <w:r w:rsidRPr="00350A5E">
        <w:rPr>
          <w:color w:val="000000" w:themeColor="text1"/>
          <w:sz w:val="21"/>
          <w:szCs w:val="21"/>
        </w:rPr>
        <w:t xml:space="preserve"> Zhong</w:t>
      </w:r>
      <w:r w:rsidRPr="00350A5E">
        <w:rPr>
          <w:color w:val="000000" w:themeColor="text1"/>
          <w:sz w:val="21"/>
          <w:szCs w:val="21"/>
          <w:vertAlign w:val="superscript"/>
        </w:rPr>
        <w:t>1</w:t>
      </w:r>
      <w:r w:rsidRPr="00350A5E">
        <w:rPr>
          <w:color w:val="000000" w:themeColor="text1"/>
          <w:sz w:val="21"/>
          <w:szCs w:val="21"/>
        </w:rPr>
        <w:t>, Wenjie Zhang</w:t>
      </w:r>
      <w:r w:rsidRPr="00350A5E">
        <w:rPr>
          <w:color w:val="000000" w:themeColor="text1"/>
          <w:sz w:val="21"/>
          <w:szCs w:val="21"/>
          <w:vertAlign w:val="superscript"/>
        </w:rPr>
        <w:t>1</w:t>
      </w:r>
      <w:r w:rsidRPr="00350A5E">
        <w:rPr>
          <w:color w:val="000000" w:themeColor="text1"/>
          <w:sz w:val="21"/>
          <w:szCs w:val="21"/>
        </w:rPr>
        <w:t>, Lei Zhang</w:t>
      </w:r>
      <w:r w:rsidRPr="00350A5E">
        <w:rPr>
          <w:color w:val="000000" w:themeColor="text1"/>
          <w:sz w:val="21"/>
          <w:szCs w:val="21"/>
          <w:vertAlign w:val="superscript"/>
        </w:rPr>
        <w:t>1</w:t>
      </w:r>
      <w:r w:rsidRPr="00350A5E">
        <w:rPr>
          <w:color w:val="000000" w:themeColor="text1"/>
          <w:sz w:val="21"/>
          <w:szCs w:val="21"/>
        </w:rPr>
        <w:t xml:space="preserve">, </w:t>
      </w:r>
      <w:proofErr w:type="spellStart"/>
      <w:r w:rsidRPr="00350A5E">
        <w:rPr>
          <w:color w:val="000000" w:themeColor="text1"/>
          <w:sz w:val="21"/>
          <w:szCs w:val="21"/>
        </w:rPr>
        <w:t>Lifeng</w:t>
      </w:r>
      <w:proofErr w:type="spellEnd"/>
      <w:r w:rsidRPr="00350A5E">
        <w:rPr>
          <w:color w:val="000000" w:themeColor="text1"/>
          <w:sz w:val="21"/>
          <w:szCs w:val="21"/>
        </w:rPr>
        <w:t xml:space="preserve"> Guo</w:t>
      </w:r>
      <w:r w:rsidRPr="00350A5E">
        <w:rPr>
          <w:color w:val="000000" w:themeColor="text1"/>
          <w:sz w:val="21"/>
          <w:szCs w:val="21"/>
          <w:vertAlign w:val="superscript"/>
        </w:rPr>
        <w:t>1</w:t>
      </w:r>
      <w:r w:rsidRPr="00350A5E">
        <w:rPr>
          <w:color w:val="000000" w:themeColor="text1"/>
          <w:sz w:val="21"/>
          <w:szCs w:val="21"/>
        </w:rPr>
        <w:t xml:space="preserve">, </w:t>
      </w:r>
      <w:proofErr w:type="spellStart"/>
      <w:r w:rsidRPr="00350A5E">
        <w:rPr>
          <w:color w:val="000000" w:themeColor="text1"/>
          <w:sz w:val="21"/>
          <w:szCs w:val="21"/>
        </w:rPr>
        <w:t>Yadong</w:t>
      </w:r>
      <w:proofErr w:type="spellEnd"/>
      <w:r w:rsidRPr="00350A5E">
        <w:rPr>
          <w:color w:val="000000" w:themeColor="text1"/>
          <w:sz w:val="21"/>
          <w:szCs w:val="21"/>
        </w:rPr>
        <w:t xml:space="preserve"> Lei</w:t>
      </w:r>
      <w:r w:rsidRPr="00350A5E">
        <w:rPr>
          <w:color w:val="000000" w:themeColor="text1"/>
          <w:sz w:val="21"/>
          <w:szCs w:val="21"/>
          <w:vertAlign w:val="superscript"/>
        </w:rPr>
        <w:t>1</w:t>
      </w:r>
      <w:r w:rsidRPr="00350A5E">
        <w:rPr>
          <w:color w:val="000000" w:themeColor="text1"/>
          <w:sz w:val="21"/>
          <w:szCs w:val="21"/>
        </w:rPr>
        <w:t xml:space="preserve">, </w:t>
      </w:r>
      <w:proofErr w:type="spellStart"/>
      <w:r w:rsidRPr="00350A5E">
        <w:rPr>
          <w:color w:val="000000" w:themeColor="text1"/>
          <w:sz w:val="21"/>
          <w:szCs w:val="21"/>
        </w:rPr>
        <w:t>Jizhi</w:t>
      </w:r>
      <w:proofErr w:type="spellEnd"/>
      <w:r w:rsidRPr="00350A5E">
        <w:rPr>
          <w:color w:val="000000" w:themeColor="text1"/>
          <w:sz w:val="21"/>
          <w:szCs w:val="21"/>
        </w:rPr>
        <w:t xml:space="preserve"> Wang</w:t>
      </w:r>
      <w:r w:rsidRPr="00350A5E">
        <w:rPr>
          <w:color w:val="000000" w:themeColor="text1"/>
          <w:sz w:val="21"/>
          <w:szCs w:val="21"/>
          <w:vertAlign w:val="superscript"/>
        </w:rPr>
        <w:t>1</w:t>
      </w:r>
      <w:r w:rsidRPr="00350A5E">
        <w:rPr>
          <w:color w:val="000000" w:themeColor="text1"/>
          <w:sz w:val="21"/>
          <w:szCs w:val="21"/>
        </w:rPr>
        <w:t xml:space="preserve">, </w:t>
      </w:r>
      <w:proofErr w:type="spellStart"/>
      <w:r w:rsidRPr="00350A5E">
        <w:rPr>
          <w:color w:val="000000" w:themeColor="text1"/>
          <w:sz w:val="21"/>
          <w:szCs w:val="21"/>
        </w:rPr>
        <w:t>Yuanqin</w:t>
      </w:r>
      <w:proofErr w:type="spellEnd"/>
      <w:r w:rsidRPr="00350A5E">
        <w:rPr>
          <w:color w:val="000000" w:themeColor="text1"/>
          <w:sz w:val="21"/>
          <w:szCs w:val="21"/>
        </w:rPr>
        <w:t xml:space="preserve"> Yang</w:t>
      </w:r>
      <w:r w:rsidRPr="00350A5E">
        <w:rPr>
          <w:color w:val="000000" w:themeColor="text1"/>
          <w:sz w:val="21"/>
          <w:szCs w:val="21"/>
          <w:vertAlign w:val="superscript"/>
        </w:rPr>
        <w:t>1</w:t>
      </w:r>
      <w:r>
        <w:rPr>
          <w:color w:val="000000" w:themeColor="text1"/>
          <w:sz w:val="21"/>
          <w:szCs w:val="21"/>
        </w:rPr>
        <w:t>, Yi Lin</w:t>
      </w:r>
      <w:r w:rsidRPr="006D7836">
        <w:rPr>
          <w:color w:val="000000" w:themeColor="text1"/>
          <w:sz w:val="21"/>
          <w:szCs w:val="21"/>
          <w:vertAlign w:val="superscript"/>
        </w:rPr>
        <w:t>3</w:t>
      </w:r>
    </w:p>
    <w:p w14:paraId="5E5045A5" w14:textId="77777777" w:rsidR="00487498" w:rsidRPr="00350A5E" w:rsidRDefault="00487498" w:rsidP="00487498">
      <w:pPr>
        <w:spacing w:line="240" w:lineRule="auto"/>
        <w:rPr>
          <w:b/>
          <w:color w:val="000000" w:themeColor="text1"/>
          <w:sz w:val="21"/>
          <w:szCs w:val="21"/>
        </w:rPr>
      </w:pPr>
      <w:r w:rsidRPr="00350A5E">
        <w:rPr>
          <w:color w:val="000000" w:themeColor="text1"/>
          <w:sz w:val="21"/>
          <w:szCs w:val="21"/>
          <w:vertAlign w:val="superscript"/>
        </w:rPr>
        <w:t>1</w:t>
      </w:r>
      <w:r w:rsidRPr="00350A5E">
        <w:rPr>
          <w:color w:val="000000" w:themeColor="text1"/>
          <w:sz w:val="21"/>
          <w:szCs w:val="21"/>
        </w:rPr>
        <w:t>State Key Laboratory of Severe Weather &amp; Key Laboratory of Atmospheric Chemistry of CMA, Chinese Academy of Meteorological Sciences, Beijing, 100081, China</w:t>
      </w:r>
    </w:p>
    <w:p w14:paraId="488CA0BC" w14:textId="77777777" w:rsidR="00487498" w:rsidRDefault="00487498" w:rsidP="00487498">
      <w:pPr>
        <w:spacing w:line="240" w:lineRule="auto"/>
        <w:rPr>
          <w:b/>
          <w:color w:val="000000" w:themeColor="text1"/>
          <w:sz w:val="21"/>
          <w:szCs w:val="21"/>
        </w:rPr>
      </w:pPr>
      <w:r w:rsidRPr="00350A5E">
        <w:rPr>
          <w:color w:val="000000" w:themeColor="text1"/>
          <w:sz w:val="21"/>
          <w:szCs w:val="21"/>
          <w:vertAlign w:val="superscript"/>
        </w:rPr>
        <w:t>2</w:t>
      </w:r>
      <w:r w:rsidRPr="00350A5E">
        <w:rPr>
          <w:color w:val="000000" w:themeColor="text1"/>
          <w:sz w:val="21"/>
          <w:szCs w:val="21"/>
        </w:rPr>
        <w:t>Center for Excellence in Regional Atmospheric Environment, IUE, Chinese Academy of Sciences, Xiamen, 361021, China</w:t>
      </w:r>
    </w:p>
    <w:p w14:paraId="55FF2550" w14:textId="77777777" w:rsidR="00487498" w:rsidRPr="001A59F0" w:rsidRDefault="00487498" w:rsidP="00487498">
      <w:pPr>
        <w:spacing w:line="240" w:lineRule="auto"/>
        <w:rPr>
          <w:b/>
          <w:color w:val="000000" w:themeColor="text1"/>
          <w:sz w:val="21"/>
          <w:szCs w:val="21"/>
        </w:rPr>
      </w:pPr>
      <w:r w:rsidRPr="006D7836">
        <w:rPr>
          <w:color w:val="000000" w:themeColor="text1"/>
          <w:sz w:val="21"/>
          <w:szCs w:val="21"/>
          <w:vertAlign w:val="superscript"/>
        </w:rPr>
        <w:t>3</w:t>
      </w:r>
      <w:r w:rsidRPr="006D7836">
        <w:rPr>
          <w:color w:val="000000" w:themeColor="text1"/>
          <w:sz w:val="21"/>
          <w:szCs w:val="21"/>
        </w:rPr>
        <w:t>Key Laboratory for Mesoscale Severe Weather, Ministry of Education, and School of Atmospheric Sciences, Nanjing</w:t>
      </w:r>
      <w:r>
        <w:rPr>
          <w:color w:val="000000" w:themeColor="text1"/>
          <w:sz w:val="21"/>
          <w:szCs w:val="21"/>
        </w:rPr>
        <w:t xml:space="preserve"> </w:t>
      </w:r>
      <w:r w:rsidRPr="006D7836">
        <w:rPr>
          <w:color w:val="000000" w:themeColor="text1"/>
          <w:sz w:val="21"/>
          <w:szCs w:val="21"/>
        </w:rPr>
        <w:t>University, Nanjing, China</w:t>
      </w:r>
    </w:p>
    <w:p w14:paraId="38473FCF" w14:textId="77777777" w:rsidR="00487498" w:rsidRPr="00350A5E" w:rsidRDefault="00487498" w:rsidP="00487498">
      <w:pPr>
        <w:spacing w:afterLines="100" w:after="381"/>
        <w:rPr>
          <w:b/>
          <w:bCs/>
          <w:color w:val="000000" w:themeColor="text1"/>
          <w:sz w:val="21"/>
          <w:szCs w:val="21"/>
        </w:rPr>
      </w:pPr>
      <w:r w:rsidRPr="00350A5E">
        <w:rPr>
          <w:color w:val="000000" w:themeColor="text1"/>
          <w:sz w:val="21"/>
          <w:szCs w:val="21"/>
        </w:rPr>
        <w:t>Correspondence to: X. Zhang (</w:t>
      </w:r>
      <w:bookmarkStart w:id="1" w:name="_Hlk127782401"/>
      <w:r w:rsidRPr="00350A5E">
        <w:rPr>
          <w:b/>
          <w:szCs w:val="28"/>
        </w:rPr>
        <w:fldChar w:fldCharType="begin"/>
      </w:r>
      <w:r w:rsidRPr="00350A5E">
        <w:rPr>
          <w:sz w:val="21"/>
          <w:szCs w:val="21"/>
        </w:rPr>
        <w:instrText xml:space="preserve"> HYPERLINK "mailto:xiaoye@cma.gov.cn" </w:instrText>
      </w:r>
      <w:r w:rsidRPr="00350A5E">
        <w:rPr>
          <w:b/>
          <w:szCs w:val="28"/>
        </w:rPr>
        <w:fldChar w:fldCharType="separate"/>
      </w:r>
      <w:r w:rsidRPr="00350A5E">
        <w:rPr>
          <w:rStyle w:val="a7"/>
          <w:sz w:val="21"/>
          <w:szCs w:val="21"/>
        </w:rPr>
        <w:t>xiaoye@cma.gov.cn</w:t>
      </w:r>
      <w:r w:rsidRPr="00350A5E">
        <w:rPr>
          <w:rStyle w:val="a7"/>
          <w:b/>
          <w:sz w:val="21"/>
          <w:szCs w:val="21"/>
        </w:rPr>
        <w:fldChar w:fldCharType="end"/>
      </w:r>
      <w:bookmarkEnd w:id="1"/>
      <w:r w:rsidRPr="00350A5E">
        <w:rPr>
          <w:color w:val="000000" w:themeColor="text1"/>
          <w:sz w:val="21"/>
          <w:szCs w:val="21"/>
        </w:rPr>
        <w:t>)</w:t>
      </w:r>
      <w:bookmarkStart w:id="2" w:name="_GoBack"/>
      <w:bookmarkEnd w:id="2"/>
    </w:p>
    <w:bookmarkEnd w:id="0"/>
    <w:p w14:paraId="53DFC1D2" w14:textId="77777777" w:rsidR="00487498" w:rsidRPr="00487498" w:rsidRDefault="00487498" w:rsidP="00F5415E">
      <w:pPr>
        <w:spacing w:line="240" w:lineRule="auto"/>
      </w:pPr>
    </w:p>
    <w:p w14:paraId="6ECFA910" w14:textId="13EBB086" w:rsidR="008B4B41" w:rsidRDefault="00F5415E" w:rsidP="00F5415E">
      <w:pPr>
        <w:spacing w:line="240" w:lineRule="auto"/>
      </w:pPr>
      <w:r>
        <w:rPr>
          <w:noProof/>
        </w:rPr>
        <w:lastRenderedPageBreak/>
        <w:drawing>
          <wp:inline distT="0" distB="0" distL="0" distR="0" wp14:anchorId="3866F219" wp14:editId="0BF59684">
            <wp:extent cx="4908814" cy="5958852"/>
            <wp:effectExtent l="0" t="0" r="635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vert_tem-initial-ysu.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4908814" cy="5958852"/>
                    </a:xfrm>
                    <a:prstGeom prst="rect">
                      <a:avLst/>
                    </a:prstGeom>
                  </pic:spPr>
                </pic:pic>
              </a:graphicData>
            </a:graphic>
          </wp:inline>
        </w:drawing>
      </w:r>
    </w:p>
    <w:p w14:paraId="7AC79763" w14:textId="1625C0D3" w:rsidR="00BF1F08" w:rsidRDefault="00BF1F08" w:rsidP="00BF1F08">
      <w:pPr>
        <w:rPr>
          <w:noProof/>
        </w:rPr>
      </w:pPr>
      <w:bookmarkStart w:id="3" w:name="_Hlk127863957"/>
      <w:r w:rsidRPr="00901782">
        <w:rPr>
          <w:rFonts w:hint="eastAsia"/>
          <w:b/>
          <w:bCs/>
          <w:sz w:val="20"/>
          <w:szCs w:val="20"/>
        </w:rPr>
        <w:t>F</w:t>
      </w:r>
      <w:r w:rsidRPr="00901782">
        <w:rPr>
          <w:b/>
          <w:bCs/>
          <w:sz w:val="20"/>
          <w:szCs w:val="20"/>
        </w:rPr>
        <w:t xml:space="preserve">igure </w:t>
      </w:r>
      <w:r>
        <w:rPr>
          <w:b/>
          <w:bCs/>
          <w:sz w:val="20"/>
          <w:szCs w:val="20"/>
        </w:rPr>
        <w:t>S1</w:t>
      </w:r>
      <w:r w:rsidRPr="00901782">
        <w:rPr>
          <w:b/>
          <w:bCs/>
          <w:sz w:val="20"/>
          <w:szCs w:val="20"/>
        </w:rPr>
        <w:t>.</w:t>
      </w:r>
      <w:r w:rsidRPr="00901782">
        <w:rPr>
          <w:sz w:val="20"/>
          <w:szCs w:val="20"/>
        </w:rPr>
        <w:t xml:space="preserve"> </w:t>
      </w:r>
      <w:r>
        <w:rPr>
          <w:sz w:val="20"/>
          <w:szCs w:val="20"/>
        </w:rPr>
        <w:t xml:space="preserve">Average vertical profiles of observed and simulated temperature at 08:00 and 20:00 BJT at four sounding stations for each region in January in different initial and boundary conditions. The unobtrusive gray lines indicate the simulated lines for all time periods, and the lines with shading indicate the average values and shaded areas show the uncertainty range (the mean </w:t>
      </w:r>
      <w:r>
        <w:rPr>
          <w:rFonts w:cs="Times New Roman"/>
          <w:sz w:val="20"/>
          <w:szCs w:val="20"/>
        </w:rPr>
        <w:t>±</w:t>
      </w:r>
      <w:r>
        <w:rPr>
          <w:sz w:val="20"/>
          <w:szCs w:val="20"/>
        </w:rPr>
        <w:t>1 standard deviation).</w:t>
      </w:r>
    </w:p>
    <w:bookmarkEnd w:id="3"/>
    <w:p w14:paraId="03D8E294" w14:textId="5A8C493D" w:rsidR="00F5415E" w:rsidRDefault="00F5415E" w:rsidP="00F5415E">
      <w:pPr>
        <w:spacing w:line="240" w:lineRule="auto"/>
      </w:pPr>
      <w:r>
        <w:rPr>
          <w:rFonts w:hint="eastAsia"/>
          <w:noProof/>
        </w:rPr>
        <w:drawing>
          <wp:inline distT="0" distB="0" distL="0" distR="0" wp14:anchorId="3632B39B" wp14:editId="47EC97E7">
            <wp:extent cx="4908814" cy="5975616"/>
            <wp:effectExtent l="0" t="0" r="635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vert_ws-initial-ysu.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08814" cy="5975616"/>
                    </a:xfrm>
                    <a:prstGeom prst="rect">
                      <a:avLst/>
                    </a:prstGeom>
                  </pic:spPr>
                </pic:pic>
              </a:graphicData>
            </a:graphic>
          </wp:inline>
        </w:drawing>
      </w:r>
    </w:p>
    <w:p w14:paraId="5B92842B" w14:textId="529D4A01" w:rsidR="00BF1F08" w:rsidRDefault="00BF1F08" w:rsidP="00BF1F08">
      <w:r w:rsidRPr="00901782">
        <w:rPr>
          <w:rFonts w:hint="eastAsia"/>
          <w:b/>
          <w:bCs/>
          <w:sz w:val="20"/>
          <w:szCs w:val="20"/>
        </w:rPr>
        <w:t>F</w:t>
      </w:r>
      <w:r w:rsidRPr="00901782">
        <w:rPr>
          <w:b/>
          <w:bCs/>
          <w:sz w:val="20"/>
          <w:szCs w:val="20"/>
        </w:rPr>
        <w:t xml:space="preserve">igure </w:t>
      </w:r>
      <w:r>
        <w:rPr>
          <w:b/>
          <w:bCs/>
          <w:sz w:val="20"/>
          <w:szCs w:val="20"/>
        </w:rPr>
        <w:t>S2</w:t>
      </w:r>
      <w:r w:rsidRPr="00901782">
        <w:rPr>
          <w:b/>
          <w:bCs/>
          <w:sz w:val="20"/>
          <w:szCs w:val="20"/>
        </w:rPr>
        <w:t>.</w:t>
      </w:r>
      <w:r w:rsidRPr="00901782">
        <w:rPr>
          <w:sz w:val="20"/>
          <w:szCs w:val="20"/>
        </w:rPr>
        <w:t xml:space="preserve"> </w:t>
      </w:r>
      <w:r>
        <w:rPr>
          <w:sz w:val="20"/>
          <w:szCs w:val="20"/>
        </w:rPr>
        <w:t>Similar as Figure S1, but for 10-m wind speed and direction.</w:t>
      </w:r>
    </w:p>
    <w:p w14:paraId="1300E0A1" w14:textId="4E79D391" w:rsidR="00F5415E" w:rsidRDefault="00F5415E" w:rsidP="00F5415E">
      <w:pPr>
        <w:spacing w:line="240" w:lineRule="auto"/>
      </w:pPr>
      <w:r>
        <w:rPr>
          <w:rFonts w:hint="eastAsia"/>
          <w:noProof/>
        </w:rPr>
        <w:drawing>
          <wp:inline distT="0" distB="0" distL="0" distR="0" wp14:anchorId="0AC0248F" wp14:editId="3083E1CA">
            <wp:extent cx="4908814" cy="5958852"/>
            <wp:effectExtent l="0" t="0" r="6350"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ert_rh-initial-ysu.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908814" cy="5958852"/>
                    </a:xfrm>
                    <a:prstGeom prst="rect">
                      <a:avLst/>
                    </a:prstGeom>
                  </pic:spPr>
                </pic:pic>
              </a:graphicData>
            </a:graphic>
          </wp:inline>
        </w:drawing>
      </w:r>
    </w:p>
    <w:p w14:paraId="772CD829" w14:textId="717E34FF" w:rsidR="00BF1F08" w:rsidRDefault="00BF1F08" w:rsidP="00BF1F08">
      <w:r w:rsidRPr="00901782">
        <w:rPr>
          <w:rFonts w:hint="eastAsia"/>
          <w:b/>
          <w:bCs/>
          <w:sz w:val="20"/>
          <w:szCs w:val="20"/>
        </w:rPr>
        <w:t>F</w:t>
      </w:r>
      <w:r w:rsidRPr="00901782">
        <w:rPr>
          <w:b/>
          <w:bCs/>
          <w:sz w:val="20"/>
          <w:szCs w:val="20"/>
        </w:rPr>
        <w:t xml:space="preserve">igure </w:t>
      </w:r>
      <w:r>
        <w:rPr>
          <w:b/>
          <w:bCs/>
          <w:sz w:val="20"/>
          <w:szCs w:val="20"/>
        </w:rPr>
        <w:t>S3</w:t>
      </w:r>
      <w:r w:rsidRPr="00901782">
        <w:rPr>
          <w:b/>
          <w:bCs/>
          <w:sz w:val="20"/>
          <w:szCs w:val="20"/>
        </w:rPr>
        <w:t>.</w:t>
      </w:r>
      <w:r w:rsidRPr="00901782">
        <w:rPr>
          <w:sz w:val="20"/>
          <w:szCs w:val="20"/>
        </w:rPr>
        <w:t xml:space="preserve"> </w:t>
      </w:r>
      <w:r>
        <w:rPr>
          <w:sz w:val="20"/>
          <w:szCs w:val="20"/>
        </w:rPr>
        <w:t>Similar as Figure S1, but for 2-m relative humidity.</w:t>
      </w:r>
    </w:p>
    <w:p w14:paraId="7B5476F7" w14:textId="2B8E588C" w:rsidR="00120040" w:rsidRDefault="00120040" w:rsidP="00F5415E">
      <w:pPr>
        <w:spacing w:line="240" w:lineRule="auto"/>
      </w:pPr>
      <w:r>
        <w:rPr>
          <w:rFonts w:hint="eastAsia"/>
          <w:noProof/>
        </w:rPr>
        <w:drawing>
          <wp:inline distT="0" distB="0" distL="0" distR="0" wp14:anchorId="15039086" wp14:editId="1A0DFEF2">
            <wp:extent cx="5274310" cy="8291195"/>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s-sim-sf-201601-d03-d07-landuse-0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74310" cy="8291195"/>
                    </a:xfrm>
                    <a:prstGeom prst="rect">
                      <a:avLst/>
                    </a:prstGeom>
                  </pic:spPr>
                </pic:pic>
              </a:graphicData>
            </a:graphic>
          </wp:inline>
        </w:drawing>
      </w:r>
    </w:p>
    <w:p w14:paraId="69A28EDE" w14:textId="2ECC9BCA" w:rsidR="00BF1F08" w:rsidRPr="004F6F76" w:rsidRDefault="00BF1F08" w:rsidP="00BF1F08">
      <w:r w:rsidRPr="00901782">
        <w:rPr>
          <w:rFonts w:hint="eastAsia"/>
          <w:b/>
          <w:bCs/>
          <w:sz w:val="20"/>
          <w:szCs w:val="20"/>
        </w:rPr>
        <w:t>F</w:t>
      </w:r>
      <w:r w:rsidRPr="00901782">
        <w:rPr>
          <w:b/>
          <w:bCs/>
          <w:sz w:val="20"/>
          <w:szCs w:val="20"/>
        </w:rPr>
        <w:t xml:space="preserve">igure </w:t>
      </w:r>
      <w:r>
        <w:rPr>
          <w:b/>
          <w:bCs/>
          <w:sz w:val="20"/>
          <w:szCs w:val="20"/>
        </w:rPr>
        <w:t>S4</w:t>
      </w:r>
      <w:r w:rsidRPr="00901782">
        <w:rPr>
          <w:b/>
          <w:bCs/>
          <w:sz w:val="20"/>
          <w:szCs w:val="20"/>
        </w:rPr>
        <w:t>.</w:t>
      </w:r>
      <w:r w:rsidRPr="00901782">
        <w:rPr>
          <w:sz w:val="20"/>
          <w:szCs w:val="20"/>
        </w:rPr>
        <w:t xml:space="preserve"> </w:t>
      </w:r>
      <w:r>
        <w:rPr>
          <w:sz w:val="20"/>
          <w:szCs w:val="20"/>
        </w:rPr>
        <w:t>Regional distribution of 10-m wind speed simulated by the (a) default land use, (b) new land use</w:t>
      </w:r>
      <w:r>
        <w:rPr>
          <w:rFonts w:cs="Times New Roman"/>
          <w:sz w:val="20"/>
          <w:szCs w:val="20"/>
        </w:rPr>
        <w:t xml:space="preserve"> </w:t>
      </w:r>
      <w:r>
        <w:rPr>
          <w:sz w:val="20"/>
          <w:szCs w:val="20"/>
        </w:rPr>
        <w:t xml:space="preserve">and (c) the difference between the two land use types for five regions in January. </w:t>
      </w:r>
      <w:bookmarkStart w:id="4" w:name="_Hlk127885797"/>
      <w:r>
        <w:rPr>
          <w:sz w:val="20"/>
          <w:szCs w:val="20"/>
        </w:rPr>
        <w:t>The blue (red) box indicates the region where the wind speed decreases (increases) due to changes in the water bodies and urban.</w:t>
      </w:r>
    </w:p>
    <w:bookmarkEnd w:id="4"/>
    <w:p w14:paraId="0EE7B1F4" w14:textId="77777777" w:rsidR="00BF1F08" w:rsidRPr="00BF1F08" w:rsidRDefault="00BF1F08" w:rsidP="00F5415E">
      <w:pPr>
        <w:spacing w:line="240" w:lineRule="auto"/>
      </w:pPr>
    </w:p>
    <w:sectPr w:rsidR="00BF1F08" w:rsidRPr="00BF1F08" w:rsidSect="004A5F8E">
      <w:pgSz w:w="11906" w:h="16838"/>
      <w:pgMar w:top="1440" w:right="1800" w:bottom="1440" w:left="1800" w:header="851" w:footer="992" w:gutter="0"/>
      <w:lnNumType w:countBy="1" w:restart="continuous"/>
      <w:cols w:space="425"/>
      <w:docGrid w:type="lines"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3A669D" w14:textId="77777777" w:rsidR="00627B35" w:rsidRDefault="00627B35" w:rsidP="00F5415E">
      <w:pPr>
        <w:spacing w:line="240" w:lineRule="auto"/>
      </w:pPr>
      <w:r>
        <w:separator/>
      </w:r>
    </w:p>
  </w:endnote>
  <w:endnote w:type="continuationSeparator" w:id="0">
    <w:p w14:paraId="5A22E733" w14:textId="77777777" w:rsidR="00627B35" w:rsidRDefault="00627B35" w:rsidP="00F5415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楷体">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FAD0D5" w14:textId="77777777" w:rsidR="00627B35" w:rsidRDefault="00627B35" w:rsidP="00F5415E">
      <w:pPr>
        <w:spacing w:line="240" w:lineRule="auto"/>
      </w:pPr>
      <w:r>
        <w:separator/>
      </w:r>
    </w:p>
  </w:footnote>
  <w:footnote w:type="continuationSeparator" w:id="0">
    <w:p w14:paraId="24721933" w14:textId="77777777" w:rsidR="00627B35" w:rsidRDefault="00627B35" w:rsidP="00F5415E">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3"/>
  <w:bordersDoNotSurroundHeader/>
  <w:bordersDoNotSurroundFooter/>
  <w:proofState w:spelling="clean" w:grammar="clean"/>
  <w:defaultTabStop w:val="420"/>
  <w:drawingGridHorizontalSpacing w:val="140"/>
  <w:drawingGridVerticalSpacing w:val="381"/>
  <w:displayHorizontalDrawingGridEvery w:val="0"/>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1EDF"/>
    <w:rsid w:val="00120040"/>
    <w:rsid w:val="0035113B"/>
    <w:rsid w:val="00395D4E"/>
    <w:rsid w:val="00487498"/>
    <w:rsid w:val="004A5F8E"/>
    <w:rsid w:val="00627B35"/>
    <w:rsid w:val="008B4B41"/>
    <w:rsid w:val="00951EDF"/>
    <w:rsid w:val="00B703C9"/>
    <w:rsid w:val="00BF1F08"/>
    <w:rsid w:val="00F4777E"/>
    <w:rsid w:val="00F541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792783A"/>
  <w15:chartTrackingRefBased/>
  <w15:docId w15:val="{976B34A5-67FC-49BB-BF44-7E47AC724F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楷体" w:hAnsi="Times New Roman" w:cstheme="minorBidi"/>
        <w:kern w:val="2"/>
        <w:sz w:val="28"/>
        <w:szCs w:val="22"/>
        <w:lang w:val="en-US" w:eastAsia="zh-CN" w:bidi="ar-SA"/>
      </w:rPr>
    </w:rPrDefault>
    <w:pPrDefault>
      <w:pPr>
        <w:spacing w:line="440" w:lineRule="exact"/>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5415E"/>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a4">
    <w:name w:val="页眉 字符"/>
    <w:basedOn w:val="a0"/>
    <w:link w:val="a3"/>
    <w:uiPriority w:val="99"/>
    <w:rsid w:val="00F5415E"/>
    <w:rPr>
      <w:sz w:val="18"/>
      <w:szCs w:val="18"/>
    </w:rPr>
  </w:style>
  <w:style w:type="paragraph" w:styleId="a5">
    <w:name w:val="footer"/>
    <w:basedOn w:val="a"/>
    <w:link w:val="a6"/>
    <w:uiPriority w:val="99"/>
    <w:unhideWhenUsed/>
    <w:rsid w:val="00F5415E"/>
    <w:pPr>
      <w:tabs>
        <w:tab w:val="center" w:pos="4153"/>
        <w:tab w:val="right" w:pos="8306"/>
      </w:tabs>
      <w:snapToGrid w:val="0"/>
      <w:spacing w:line="240" w:lineRule="atLeast"/>
      <w:jc w:val="left"/>
    </w:pPr>
    <w:rPr>
      <w:sz w:val="18"/>
      <w:szCs w:val="18"/>
    </w:rPr>
  </w:style>
  <w:style w:type="character" w:customStyle="1" w:styleId="a6">
    <w:name w:val="页脚 字符"/>
    <w:basedOn w:val="a0"/>
    <w:link w:val="a5"/>
    <w:uiPriority w:val="99"/>
    <w:rsid w:val="00F5415E"/>
    <w:rPr>
      <w:sz w:val="18"/>
      <w:szCs w:val="18"/>
    </w:rPr>
  </w:style>
  <w:style w:type="character" w:styleId="a7">
    <w:name w:val="Hyperlink"/>
    <w:basedOn w:val="a0"/>
    <w:uiPriority w:val="99"/>
    <w:unhideWhenUsed/>
    <w:rsid w:val="00487498"/>
    <w:rPr>
      <w:color w:val="0563C1" w:themeColor="hyperlink"/>
      <w:u w:val="single"/>
    </w:rPr>
  </w:style>
  <w:style w:type="paragraph" w:customStyle="1" w:styleId="MStitle">
    <w:name w:val="MS title"/>
    <w:basedOn w:val="a"/>
    <w:link w:val="MStitleChar"/>
    <w:qFormat/>
    <w:rsid w:val="00487498"/>
    <w:pPr>
      <w:spacing w:before="360"/>
      <w:contextualSpacing/>
    </w:pPr>
    <w:rPr>
      <w:rFonts w:eastAsia="Times New Roman" w:cs="Times New Roman"/>
      <w:b/>
      <w:kern w:val="0"/>
      <w:sz w:val="34"/>
      <w:szCs w:val="24"/>
      <w:lang w:val="en-GB" w:eastAsia="de-DE"/>
    </w:rPr>
  </w:style>
  <w:style w:type="character" w:customStyle="1" w:styleId="MStitleChar">
    <w:name w:val="MS title Char"/>
    <w:basedOn w:val="a0"/>
    <w:link w:val="MStitle"/>
    <w:rsid w:val="00487498"/>
    <w:rPr>
      <w:rFonts w:eastAsia="Times New Roman" w:cs="Times New Roman"/>
      <w:b/>
      <w:kern w:val="0"/>
      <w:sz w:val="34"/>
      <w:szCs w:val="24"/>
      <w:lang w:val="en-GB" w:eastAsia="de-DE"/>
    </w:rPr>
  </w:style>
  <w:style w:type="character" w:styleId="a8">
    <w:name w:val="line number"/>
    <w:basedOn w:val="a0"/>
    <w:uiPriority w:val="99"/>
    <w:semiHidden/>
    <w:unhideWhenUsed/>
    <w:rsid w:val="004A5F8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webSettings" Target="webSettings.xml"/><Relationship Id="rId7" Type="http://schemas.openxmlformats.org/officeDocument/2006/relationships/image" Target="media/image2.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6</Pages>
  <Words>257</Words>
  <Characters>1469</Characters>
  <Application>Microsoft Office Word</Application>
  <DocSecurity>0</DocSecurity>
  <Lines>12</Lines>
  <Paragraphs>3</Paragraphs>
  <ScaleCrop>false</ScaleCrop>
  <Company/>
  <LinksUpToDate>false</LinksUpToDate>
  <CharactersWithSpaces>1723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China</dc:creator>
  <cp:keywords/>
  <dc:description/>
  <cp:lastModifiedBy>China</cp:lastModifiedBy>
  <cp:revision>6</cp:revision>
  <dcterms:created xsi:type="dcterms:W3CDTF">2023-02-07T00:33:00Z</dcterms:created>
  <dcterms:modified xsi:type="dcterms:W3CDTF">2023-02-22T06:18:00Z</dcterms:modified>
</cp:coreProperties>
</file>